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3C" w:rsidRPr="00D73344" w:rsidRDefault="009A013C" w:rsidP="009A013C">
      <w:pPr>
        <w:spacing w:line="600" w:lineRule="exact"/>
        <w:rPr>
          <w:rFonts w:ascii="黑体" w:eastAsia="黑体" w:cs="仿宋_GB2312"/>
          <w:sz w:val="28"/>
          <w:szCs w:val="32"/>
        </w:rPr>
      </w:pPr>
      <w:bookmarkStart w:id="0" w:name="_GoBack"/>
      <w:r w:rsidRPr="00D73344">
        <w:rPr>
          <w:rFonts w:ascii="黑体" w:eastAsia="黑体" w:cs="仿宋_GB2312" w:hint="eastAsia"/>
          <w:sz w:val="28"/>
          <w:szCs w:val="32"/>
        </w:rPr>
        <w:t>附件1</w:t>
      </w:r>
      <w:bookmarkEnd w:id="0"/>
    </w:p>
    <w:p w:rsidR="009A013C" w:rsidRPr="00442793" w:rsidRDefault="009A013C" w:rsidP="009A013C">
      <w:pPr>
        <w:spacing w:beforeLines="50" w:before="156" w:afterLines="50" w:after="156" w:line="600" w:lineRule="exact"/>
        <w:jc w:val="center"/>
        <w:rPr>
          <w:rFonts w:ascii="方正小标宋简体" w:eastAsia="方正小标宋简体" w:cs="仿宋_GB2312"/>
          <w:sz w:val="36"/>
          <w:szCs w:val="44"/>
        </w:rPr>
      </w:pPr>
      <w:r w:rsidRPr="00442793">
        <w:rPr>
          <w:rFonts w:ascii="方正小标宋简体" w:eastAsia="方正小标宋简体" w:cs="仿宋_GB2312" w:hint="eastAsia"/>
          <w:sz w:val="36"/>
          <w:szCs w:val="44"/>
        </w:rPr>
        <w:t>201</w:t>
      </w:r>
      <w:r>
        <w:rPr>
          <w:rFonts w:ascii="方正小标宋简体" w:eastAsia="方正小标宋简体" w:cs="仿宋_GB2312" w:hint="eastAsia"/>
          <w:sz w:val="36"/>
          <w:szCs w:val="44"/>
        </w:rPr>
        <w:t>5</w:t>
      </w:r>
      <w:r w:rsidRPr="00442793">
        <w:rPr>
          <w:rFonts w:ascii="方正小标宋简体" w:eastAsia="方正小标宋简体" w:cs="仿宋_GB2312" w:hint="eastAsia"/>
          <w:sz w:val="36"/>
          <w:szCs w:val="44"/>
        </w:rPr>
        <w:t>年度课题</w:t>
      </w:r>
      <w:r>
        <w:rPr>
          <w:rFonts w:ascii="方正小标宋简体" w:eastAsia="方正小标宋简体" w:cs="仿宋_GB2312" w:hint="eastAsia"/>
          <w:sz w:val="36"/>
          <w:szCs w:val="44"/>
        </w:rPr>
        <w:t>（第一批）</w:t>
      </w:r>
      <w:r w:rsidRPr="00442793">
        <w:rPr>
          <w:rFonts w:ascii="方正小标宋简体" w:eastAsia="方正小标宋简体" w:cs="仿宋_GB2312" w:hint="eastAsia"/>
          <w:sz w:val="36"/>
          <w:szCs w:val="44"/>
        </w:rPr>
        <w:t>信息表</w:t>
      </w:r>
    </w:p>
    <w:tbl>
      <w:tblPr>
        <w:tblW w:w="9945" w:type="dxa"/>
        <w:jc w:val="center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9"/>
        <w:gridCol w:w="2410"/>
        <w:gridCol w:w="6616"/>
      </w:tblGrid>
      <w:tr w:rsidR="009A013C" w:rsidTr="00C80E24">
        <w:trPr>
          <w:trHeight w:val="875"/>
          <w:jc w:val="center"/>
        </w:trPr>
        <w:tc>
          <w:tcPr>
            <w:tcW w:w="919" w:type="dxa"/>
            <w:vAlign w:val="center"/>
          </w:tcPr>
          <w:p w:rsidR="009A013C" w:rsidRPr="00905A69" w:rsidRDefault="009A013C" w:rsidP="00C80E24">
            <w:pPr>
              <w:spacing w:line="360" w:lineRule="auto"/>
              <w:jc w:val="center"/>
              <w:rPr>
                <w:rFonts w:ascii="仿宋_GB2312" w:eastAsia="仿宋_GB2312" w:hAnsiTheme="minorEastAsia" w:cs="仿宋_GB2312"/>
                <w:b/>
                <w:sz w:val="28"/>
                <w:szCs w:val="32"/>
              </w:rPr>
            </w:pPr>
            <w:r w:rsidRPr="00905A69">
              <w:rPr>
                <w:rFonts w:ascii="仿宋_GB2312" w:eastAsia="仿宋_GB2312" w:hAnsiTheme="minorEastAsia" w:cs="仿宋_GB2312" w:hint="eastAsia"/>
                <w:b/>
                <w:sz w:val="28"/>
                <w:szCs w:val="32"/>
              </w:rPr>
              <w:t>序号</w:t>
            </w:r>
          </w:p>
        </w:tc>
        <w:tc>
          <w:tcPr>
            <w:tcW w:w="2410" w:type="dxa"/>
            <w:vAlign w:val="center"/>
          </w:tcPr>
          <w:p w:rsidR="009A013C" w:rsidRPr="00905A69" w:rsidRDefault="009A013C" w:rsidP="00C80E24">
            <w:pPr>
              <w:spacing w:line="360" w:lineRule="auto"/>
              <w:ind w:left="180"/>
              <w:jc w:val="center"/>
              <w:rPr>
                <w:rFonts w:ascii="仿宋_GB2312" w:eastAsia="仿宋_GB2312" w:hAnsiTheme="minorEastAsia" w:cs="仿宋_GB2312"/>
                <w:b/>
                <w:sz w:val="28"/>
                <w:szCs w:val="32"/>
              </w:rPr>
            </w:pPr>
            <w:r w:rsidRPr="00905A69">
              <w:rPr>
                <w:rFonts w:ascii="仿宋_GB2312" w:eastAsia="仿宋_GB2312" w:hAnsiTheme="minorEastAsia" w:cs="仿宋_GB2312" w:hint="eastAsia"/>
                <w:b/>
                <w:sz w:val="28"/>
                <w:szCs w:val="32"/>
              </w:rPr>
              <w:t>课题名称</w:t>
            </w:r>
          </w:p>
        </w:tc>
        <w:tc>
          <w:tcPr>
            <w:tcW w:w="6616" w:type="dxa"/>
            <w:vAlign w:val="center"/>
          </w:tcPr>
          <w:p w:rsidR="009A013C" w:rsidRPr="00905A69" w:rsidRDefault="009A013C" w:rsidP="00C80E24">
            <w:pPr>
              <w:spacing w:line="360" w:lineRule="auto"/>
              <w:jc w:val="center"/>
              <w:rPr>
                <w:rFonts w:ascii="仿宋_GB2312" w:eastAsia="仿宋_GB2312" w:hAnsiTheme="minorEastAsia" w:cs="仿宋_GB2312"/>
                <w:b/>
                <w:sz w:val="28"/>
                <w:szCs w:val="32"/>
              </w:rPr>
            </w:pPr>
            <w:r w:rsidRPr="00905A69">
              <w:rPr>
                <w:rFonts w:ascii="仿宋_GB2312" w:eastAsia="仿宋_GB2312" w:hAnsiTheme="minorEastAsia" w:cs="仿宋_GB2312" w:hint="eastAsia"/>
                <w:b/>
                <w:sz w:val="28"/>
                <w:szCs w:val="32"/>
              </w:rPr>
              <w:t>研究</w:t>
            </w:r>
            <w:r>
              <w:rPr>
                <w:rFonts w:ascii="仿宋_GB2312" w:eastAsia="仿宋_GB2312" w:hAnsiTheme="minorEastAsia" w:cs="仿宋_GB2312" w:hint="eastAsia"/>
                <w:b/>
                <w:sz w:val="28"/>
                <w:szCs w:val="32"/>
              </w:rPr>
              <w:t>内容</w:t>
            </w:r>
          </w:p>
        </w:tc>
      </w:tr>
      <w:tr w:rsidR="009A013C" w:rsidRPr="00E13E50" w:rsidTr="00C80E24">
        <w:trPr>
          <w:trHeight w:val="3114"/>
          <w:jc w:val="center"/>
        </w:trPr>
        <w:tc>
          <w:tcPr>
            <w:tcW w:w="919" w:type="dxa"/>
            <w:vAlign w:val="center"/>
          </w:tcPr>
          <w:p w:rsidR="009A013C" w:rsidRPr="00905A69" w:rsidRDefault="009A013C" w:rsidP="00C80E24">
            <w:pPr>
              <w:spacing w:line="360" w:lineRule="auto"/>
              <w:jc w:val="center"/>
              <w:rPr>
                <w:rFonts w:ascii="仿宋_GB2312" w:eastAsia="仿宋_GB2312" w:hAnsiTheme="minorEastAsia" w:cs="仿宋_GB2312"/>
                <w:sz w:val="28"/>
                <w:szCs w:val="32"/>
              </w:rPr>
            </w:pPr>
            <w:r>
              <w:rPr>
                <w:rFonts w:ascii="仿宋_GB2312" w:eastAsia="仿宋_GB2312" w:hAnsiTheme="minorEastAsia" w:cs="仿宋_GB2312" w:hint="eastAsia"/>
                <w:sz w:val="28"/>
                <w:szCs w:val="32"/>
              </w:rPr>
              <w:t>1</w:t>
            </w:r>
          </w:p>
        </w:tc>
        <w:tc>
          <w:tcPr>
            <w:tcW w:w="2410" w:type="dxa"/>
            <w:vAlign w:val="center"/>
          </w:tcPr>
          <w:p w:rsidR="009A013C" w:rsidRPr="00905A69" w:rsidRDefault="009A013C" w:rsidP="00C80E24">
            <w:pPr>
              <w:spacing w:line="360" w:lineRule="auto"/>
              <w:jc w:val="center"/>
              <w:rPr>
                <w:rFonts w:ascii="仿宋_GB2312" w:eastAsia="仿宋_GB2312" w:hAnsiTheme="minorEastAsia" w:cs="仿宋_GB2312"/>
                <w:sz w:val="28"/>
                <w:szCs w:val="32"/>
              </w:rPr>
            </w:pPr>
            <w:r w:rsidRPr="00905A69">
              <w:rPr>
                <w:rFonts w:ascii="仿宋_GB2312" w:eastAsia="仿宋_GB2312" w:hAnsiTheme="minorEastAsia" w:cs="仿宋_GB2312" w:hint="eastAsia"/>
                <w:sz w:val="28"/>
                <w:szCs w:val="32"/>
              </w:rPr>
              <w:t>广东药交新</w:t>
            </w:r>
            <w:proofErr w:type="gramStart"/>
            <w:r w:rsidRPr="00905A69">
              <w:rPr>
                <w:rFonts w:ascii="仿宋_GB2312" w:eastAsia="仿宋_GB2312" w:hAnsiTheme="minorEastAsia" w:cs="仿宋_GB2312" w:hint="eastAsia"/>
                <w:sz w:val="28"/>
                <w:szCs w:val="32"/>
              </w:rPr>
              <w:t>规</w:t>
            </w:r>
            <w:proofErr w:type="gramEnd"/>
            <w:r w:rsidRPr="00905A69">
              <w:rPr>
                <w:rFonts w:ascii="仿宋_GB2312" w:eastAsia="仿宋_GB2312" w:hAnsiTheme="minorEastAsia" w:cs="仿宋_GB2312" w:hint="eastAsia"/>
                <w:sz w:val="28"/>
                <w:szCs w:val="32"/>
              </w:rPr>
              <w:t>对药品价格变动的影响研究</w:t>
            </w:r>
          </w:p>
        </w:tc>
        <w:tc>
          <w:tcPr>
            <w:tcW w:w="6616" w:type="dxa"/>
            <w:vAlign w:val="center"/>
          </w:tcPr>
          <w:p w:rsidR="009A013C" w:rsidRPr="00905A69" w:rsidRDefault="009A013C" w:rsidP="00C80E24">
            <w:pPr>
              <w:spacing w:line="360" w:lineRule="auto"/>
              <w:rPr>
                <w:rFonts w:ascii="仿宋_GB2312" w:eastAsia="仿宋_GB2312" w:hAnsiTheme="minorEastAsia" w:cs="宋体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8"/>
                <w:szCs w:val="32"/>
              </w:rPr>
              <w:t>通过</w:t>
            </w:r>
            <w:r w:rsidRPr="00905A69">
              <w:rPr>
                <w:rFonts w:ascii="仿宋_GB2312" w:eastAsia="仿宋_GB2312" w:hAnsiTheme="minorEastAsia" w:cs="宋体" w:hint="eastAsia"/>
                <w:kern w:val="0"/>
                <w:sz w:val="28"/>
                <w:szCs w:val="32"/>
              </w:rPr>
              <w:t>分析</w:t>
            </w:r>
            <w:r>
              <w:rPr>
                <w:rFonts w:ascii="仿宋_GB2312" w:eastAsia="仿宋_GB2312" w:hAnsiTheme="minorEastAsia" w:cs="宋体" w:hint="eastAsia"/>
                <w:kern w:val="0"/>
                <w:sz w:val="28"/>
                <w:szCs w:val="32"/>
              </w:rPr>
              <w:t>广东药交新</w:t>
            </w:r>
            <w:proofErr w:type="gramStart"/>
            <w:r>
              <w:rPr>
                <w:rFonts w:ascii="仿宋_GB2312" w:eastAsia="仿宋_GB2312" w:hAnsiTheme="minorEastAsia" w:cs="宋体" w:hint="eastAsia"/>
                <w:kern w:val="0"/>
                <w:sz w:val="28"/>
                <w:szCs w:val="32"/>
              </w:rPr>
              <w:t>规</w:t>
            </w:r>
            <w:proofErr w:type="gramEnd"/>
            <w:r>
              <w:rPr>
                <w:rFonts w:ascii="仿宋_GB2312" w:eastAsia="仿宋_GB2312" w:hAnsiTheme="minorEastAsia" w:cs="宋体" w:hint="eastAsia"/>
                <w:kern w:val="0"/>
                <w:sz w:val="28"/>
                <w:szCs w:val="32"/>
              </w:rPr>
              <w:t>落地及</w:t>
            </w:r>
            <w:r w:rsidRPr="00905A69">
              <w:rPr>
                <w:rFonts w:ascii="仿宋_GB2312" w:eastAsia="仿宋_GB2312" w:hAnsiTheme="minorEastAsia" w:cs="宋体" w:hint="eastAsia"/>
                <w:kern w:val="0"/>
                <w:sz w:val="28"/>
                <w:szCs w:val="32"/>
              </w:rPr>
              <w:t>广东省第三方</w:t>
            </w:r>
            <w:r>
              <w:rPr>
                <w:rFonts w:ascii="仿宋_GB2312" w:eastAsia="仿宋_GB2312" w:hAnsiTheme="minorEastAsia" w:cs="宋体" w:hint="eastAsia"/>
                <w:kern w:val="0"/>
                <w:sz w:val="28"/>
                <w:szCs w:val="32"/>
              </w:rPr>
              <w:t>药品</w:t>
            </w:r>
            <w:r w:rsidRPr="00905A69">
              <w:rPr>
                <w:rFonts w:ascii="仿宋_GB2312" w:eastAsia="仿宋_GB2312" w:hAnsiTheme="minorEastAsia" w:cs="宋体" w:hint="eastAsia"/>
                <w:kern w:val="0"/>
                <w:sz w:val="28"/>
                <w:szCs w:val="32"/>
              </w:rPr>
              <w:t>电子交易平台上线以来</w:t>
            </w:r>
            <w:r>
              <w:rPr>
                <w:rFonts w:ascii="仿宋_GB2312" w:eastAsia="仿宋_GB2312" w:hAnsiTheme="minorEastAsia" w:cs="宋体" w:hint="eastAsia"/>
                <w:kern w:val="0"/>
                <w:sz w:val="28"/>
                <w:szCs w:val="32"/>
              </w:rPr>
              <w:t>所</w:t>
            </w:r>
            <w:r w:rsidRPr="00905A69">
              <w:rPr>
                <w:rFonts w:ascii="仿宋_GB2312" w:eastAsia="仿宋_GB2312" w:hAnsiTheme="minorEastAsia" w:cs="宋体" w:hint="eastAsia"/>
                <w:kern w:val="0"/>
                <w:sz w:val="28"/>
                <w:szCs w:val="32"/>
              </w:rPr>
              <w:t>取得的成果</w:t>
            </w:r>
            <w:r>
              <w:rPr>
                <w:rFonts w:ascii="仿宋_GB2312" w:eastAsia="仿宋_GB2312" w:hAnsiTheme="minorEastAsia" w:cs="宋体" w:hint="eastAsia"/>
                <w:kern w:val="0"/>
                <w:sz w:val="28"/>
                <w:szCs w:val="32"/>
              </w:rPr>
              <w:t>及</w:t>
            </w:r>
            <w:r w:rsidRPr="00905A69">
              <w:rPr>
                <w:rFonts w:ascii="仿宋_GB2312" w:eastAsia="仿宋_GB2312" w:hAnsiTheme="minorEastAsia" w:cs="宋体" w:hint="eastAsia"/>
                <w:kern w:val="0"/>
                <w:sz w:val="28"/>
                <w:szCs w:val="32"/>
              </w:rPr>
              <w:t>存在的问题，从主体、</w:t>
            </w:r>
            <w:r>
              <w:rPr>
                <w:rFonts w:ascii="仿宋_GB2312" w:eastAsia="仿宋_GB2312" w:hAnsiTheme="minorEastAsia" w:cs="宋体" w:hint="eastAsia"/>
                <w:kern w:val="0"/>
                <w:sz w:val="28"/>
                <w:szCs w:val="32"/>
              </w:rPr>
              <w:t>方式、</w:t>
            </w:r>
            <w:r w:rsidRPr="00905A69">
              <w:rPr>
                <w:rFonts w:ascii="仿宋_GB2312" w:eastAsia="仿宋_GB2312" w:hAnsiTheme="minorEastAsia" w:cs="宋体" w:hint="eastAsia"/>
                <w:kern w:val="0"/>
                <w:sz w:val="28"/>
                <w:szCs w:val="32"/>
              </w:rPr>
              <w:t>路径及结果等方面</w:t>
            </w:r>
            <w:r>
              <w:rPr>
                <w:rFonts w:ascii="仿宋_GB2312" w:eastAsia="仿宋_GB2312" w:hAnsiTheme="minorEastAsia" w:cs="宋体" w:hint="eastAsia"/>
                <w:kern w:val="0"/>
                <w:sz w:val="28"/>
                <w:szCs w:val="32"/>
              </w:rPr>
              <w:t>实证</w:t>
            </w:r>
            <w:r w:rsidRPr="00905A69">
              <w:rPr>
                <w:rFonts w:ascii="仿宋_GB2312" w:eastAsia="仿宋_GB2312" w:hAnsiTheme="minorEastAsia" w:cs="宋体" w:hint="eastAsia"/>
                <w:kern w:val="0"/>
                <w:sz w:val="28"/>
                <w:szCs w:val="32"/>
              </w:rPr>
              <w:t>分析</w:t>
            </w:r>
            <w:r>
              <w:rPr>
                <w:rFonts w:ascii="仿宋_GB2312" w:eastAsia="仿宋_GB2312" w:hAnsiTheme="minorEastAsia" w:cs="宋体" w:hint="eastAsia"/>
                <w:kern w:val="0"/>
                <w:sz w:val="28"/>
                <w:szCs w:val="32"/>
              </w:rPr>
              <w:t>广东</w:t>
            </w:r>
            <w:r w:rsidRPr="00905A69">
              <w:rPr>
                <w:rFonts w:ascii="仿宋_GB2312" w:eastAsia="仿宋_GB2312" w:hAnsiTheme="minorEastAsia" w:cs="宋体" w:hint="eastAsia"/>
                <w:kern w:val="0"/>
                <w:sz w:val="28"/>
                <w:szCs w:val="32"/>
              </w:rPr>
              <w:t>药交新</w:t>
            </w:r>
            <w:proofErr w:type="gramStart"/>
            <w:r w:rsidRPr="00905A69">
              <w:rPr>
                <w:rFonts w:ascii="仿宋_GB2312" w:eastAsia="仿宋_GB2312" w:hAnsiTheme="minorEastAsia" w:cs="宋体" w:hint="eastAsia"/>
                <w:kern w:val="0"/>
                <w:sz w:val="28"/>
                <w:szCs w:val="32"/>
              </w:rPr>
              <w:t>规</w:t>
            </w:r>
            <w:proofErr w:type="gramEnd"/>
            <w:r w:rsidRPr="00905A69">
              <w:rPr>
                <w:rFonts w:ascii="仿宋_GB2312" w:eastAsia="仿宋_GB2312" w:hAnsiTheme="minorEastAsia" w:cs="宋体" w:hint="eastAsia"/>
                <w:kern w:val="0"/>
                <w:sz w:val="28"/>
                <w:szCs w:val="32"/>
              </w:rPr>
              <w:t>对药品价格</w:t>
            </w:r>
            <w:r>
              <w:rPr>
                <w:rFonts w:ascii="仿宋_GB2312" w:eastAsia="仿宋_GB2312" w:hAnsiTheme="minorEastAsia" w:cs="宋体" w:hint="eastAsia"/>
                <w:kern w:val="0"/>
                <w:sz w:val="28"/>
                <w:szCs w:val="32"/>
              </w:rPr>
              <w:t>所</w:t>
            </w:r>
            <w:r w:rsidRPr="00905A69">
              <w:rPr>
                <w:rFonts w:ascii="仿宋_GB2312" w:eastAsia="仿宋_GB2312" w:hAnsiTheme="minorEastAsia" w:cs="宋体" w:hint="eastAsia"/>
                <w:kern w:val="0"/>
                <w:sz w:val="28"/>
                <w:szCs w:val="32"/>
              </w:rPr>
              <w:t>造成的影响，并对</w:t>
            </w:r>
            <w:r>
              <w:rPr>
                <w:rFonts w:ascii="仿宋_GB2312" w:eastAsia="仿宋_GB2312" w:hAnsiTheme="minorEastAsia" w:cs="宋体" w:hint="eastAsia"/>
                <w:kern w:val="0"/>
                <w:sz w:val="28"/>
                <w:szCs w:val="32"/>
              </w:rPr>
              <w:t>未来</w:t>
            </w:r>
            <w:r w:rsidRPr="00905A69">
              <w:rPr>
                <w:rFonts w:ascii="仿宋_GB2312" w:eastAsia="仿宋_GB2312" w:hAnsiTheme="minorEastAsia" w:cs="宋体" w:hint="eastAsia"/>
                <w:kern w:val="0"/>
                <w:sz w:val="28"/>
                <w:szCs w:val="32"/>
              </w:rPr>
              <w:t>发展所面临的形势</w:t>
            </w:r>
            <w:r>
              <w:rPr>
                <w:rFonts w:ascii="仿宋_GB2312" w:eastAsia="仿宋_GB2312" w:hAnsiTheme="minorEastAsia" w:cs="宋体" w:hint="eastAsia"/>
                <w:kern w:val="0"/>
                <w:sz w:val="28"/>
                <w:szCs w:val="32"/>
              </w:rPr>
              <w:t>及相应的对策</w:t>
            </w:r>
            <w:r w:rsidRPr="00905A69">
              <w:rPr>
                <w:rFonts w:ascii="仿宋_GB2312" w:eastAsia="仿宋_GB2312" w:hAnsiTheme="minorEastAsia" w:cs="宋体" w:hint="eastAsia"/>
                <w:kern w:val="0"/>
                <w:sz w:val="28"/>
                <w:szCs w:val="32"/>
              </w:rPr>
              <w:t>进行</w:t>
            </w:r>
            <w:r>
              <w:rPr>
                <w:rFonts w:ascii="仿宋_GB2312" w:eastAsia="仿宋_GB2312" w:hAnsiTheme="minorEastAsia" w:cs="宋体" w:hint="eastAsia"/>
                <w:kern w:val="0"/>
                <w:sz w:val="28"/>
                <w:szCs w:val="32"/>
              </w:rPr>
              <w:t>分析和预判</w:t>
            </w:r>
            <w:r w:rsidRPr="00905A69">
              <w:rPr>
                <w:rFonts w:ascii="仿宋_GB2312" w:eastAsia="仿宋_GB2312" w:hAnsiTheme="minorEastAsia" w:cs="宋体" w:hint="eastAsia"/>
                <w:kern w:val="0"/>
                <w:sz w:val="28"/>
                <w:szCs w:val="32"/>
              </w:rPr>
              <w:t>。</w:t>
            </w:r>
          </w:p>
        </w:tc>
      </w:tr>
      <w:tr w:rsidR="009A013C" w:rsidRPr="0077712E" w:rsidTr="00C80E24">
        <w:trPr>
          <w:trHeight w:val="3116"/>
          <w:jc w:val="center"/>
        </w:trPr>
        <w:tc>
          <w:tcPr>
            <w:tcW w:w="919" w:type="dxa"/>
            <w:vAlign w:val="center"/>
          </w:tcPr>
          <w:p w:rsidR="009A013C" w:rsidRPr="00905A69" w:rsidRDefault="009A013C" w:rsidP="00C80E24">
            <w:pPr>
              <w:spacing w:line="360" w:lineRule="auto"/>
              <w:jc w:val="center"/>
              <w:rPr>
                <w:rFonts w:ascii="仿宋_GB2312" w:eastAsia="仿宋_GB2312" w:hAnsiTheme="minorEastAsia" w:cs="仿宋_GB2312"/>
                <w:sz w:val="28"/>
                <w:szCs w:val="32"/>
              </w:rPr>
            </w:pPr>
            <w:r>
              <w:rPr>
                <w:rFonts w:ascii="仿宋_GB2312" w:eastAsia="仿宋_GB2312" w:hAnsiTheme="minorEastAsia" w:cs="仿宋_GB2312" w:hint="eastAsia"/>
                <w:sz w:val="28"/>
                <w:szCs w:val="32"/>
              </w:rPr>
              <w:t>2</w:t>
            </w:r>
          </w:p>
        </w:tc>
        <w:tc>
          <w:tcPr>
            <w:tcW w:w="2410" w:type="dxa"/>
            <w:vAlign w:val="center"/>
          </w:tcPr>
          <w:p w:rsidR="009A013C" w:rsidRPr="00905A69" w:rsidRDefault="009A013C" w:rsidP="00C80E24">
            <w:pPr>
              <w:spacing w:line="360" w:lineRule="auto"/>
              <w:jc w:val="center"/>
              <w:rPr>
                <w:rFonts w:ascii="仿宋_GB2312" w:eastAsia="仿宋_GB2312" w:hAnsiTheme="minorEastAsia" w:cs="仿宋_GB2312"/>
                <w:sz w:val="28"/>
                <w:szCs w:val="32"/>
              </w:rPr>
            </w:pPr>
            <w:r w:rsidRPr="00905A69">
              <w:rPr>
                <w:rFonts w:ascii="仿宋_GB2312" w:eastAsia="仿宋_GB2312" w:hAnsiTheme="minorEastAsia" w:cs="仿宋_GB2312" w:hint="eastAsia"/>
                <w:sz w:val="28"/>
                <w:szCs w:val="32"/>
              </w:rPr>
              <w:t>成本效果分析在药品价格管理领域的应用研究</w:t>
            </w:r>
          </w:p>
        </w:tc>
        <w:tc>
          <w:tcPr>
            <w:tcW w:w="6616" w:type="dxa"/>
            <w:vAlign w:val="center"/>
          </w:tcPr>
          <w:p w:rsidR="009A013C" w:rsidRPr="00905A69" w:rsidRDefault="009A013C" w:rsidP="00C80E24">
            <w:pPr>
              <w:spacing w:line="360" w:lineRule="auto"/>
              <w:rPr>
                <w:rFonts w:ascii="仿宋_GB2312" w:eastAsia="仿宋_GB2312" w:hAnsiTheme="minorEastAsia" w:cs="宋体"/>
                <w:kern w:val="0"/>
                <w:sz w:val="28"/>
                <w:szCs w:val="32"/>
              </w:rPr>
            </w:pPr>
            <w:r>
              <w:rPr>
                <w:rFonts w:ascii="仿宋_GB2312" w:eastAsia="仿宋_GB2312" w:hAnsiTheme="minorEastAsia" w:cs="宋体" w:hint="eastAsia"/>
                <w:kern w:val="0"/>
                <w:sz w:val="28"/>
                <w:szCs w:val="32"/>
              </w:rPr>
              <w:t>采用成本效果分析方法对药品的经济性进行实证研究，</w:t>
            </w:r>
            <w:r w:rsidRPr="00905A69">
              <w:rPr>
                <w:rFonts w:ascii="仿宋_GB2312" w:eastAsia="仿宋_GB2312" w:hAnsiTheme="minorEastAsia" w:cs="宋体" w:hint="eastAsia"/>
                <w:kern w:val="0"/>
                <w:sz w:val="28"/>
                <w:szCs w:val="32"/>
              </w:rPr>
              <w:t>比较分析药物经济学应用</w:t>
            </w:r>
            <w:r>
              <w:rPr>
                <w:rFonts w:ascii="仿宋_GB2312" w:eastAsia="仿宋_GB2312" w:hAnsiTheme="minorEastAsia" w:cs="宋体" w:hint="eastAsia"/>
                <w:kern w:val="0"/>
                <w:sz w:val="28"/>
                <w:szCs w:val="32"/>
              </w:rPr>
              <w:t>上</w:t>
            </w:r>
            <w:r w:rsidRPr="00905A69">
              <w:rPr>
                <w:rFonts w:ascii="仿宋_GB2312" w:eastAsia="仿宋_GB2312" w:hAnsiTheme="minorEastAsia" w:cs="宋体" w:hint="eastAsia"/>
                <w:kern w:val="0"/>
                <w:sz w:val="28"/>
                <w:szCs w:val="32"/>
              </w:rPr>
              <w:t>的</w:t>
            </w:r>
            <w:r>
              <w:rPr>
                <w:rFonts w:ascii="仿宋_GB2312" w:eastAsia="仿宋_GB2312" w:hAnsiTheme="minorEastAsia" w:cs="宋体" w:hint="eastAsia"/>
                <w:kern w:val="0"/>
                <w:sz w:val="28"/>
                <w:szCs w:val="32"/>
              </w:rPr>
              <w:t>国际</w:t>
            </w:r>
            <w:r w:rsidRPr="00905A69">
              <w:rPr>
                <w:rFonts w:ascii="仿宋_GB2312" w:eastAsia="仿宋_GB2312" w:hAnsiTheme="minorEastAsia" w:cs="宋体" w:hint="eastAsia"/>
                <w:kern w:val="0"/>
                <w:sz w:val="28"/>
                <w:szCs w:val="32"/>
              </w:rPr>
              <w:t>经验，探索成本效果分析在药品价值评价、价格</w:t>
            </w:r>
            <w:r>
              <w:rPr>
                <w:rFonts w:ascii="仿宋_GB2312" w:eastAsia="仿宋_GB2312" w:hAnsiTheme="minorEastAsia" w:cs="宋体" w:hint="eastAsia"/>
                <w:kern w:val="0"/>
                <w:sz w:val="28"/>
                <w:szCs w:val="32"/>
              </w:rPr>
              <w:t>形成</w:t>
            </w:r>
            <w:r w:rsidRPr="00905A69">
              <w:rPr>
                <w:rFonts w:ascii="仿宋_GB2312" w:eastAsia="仿宋_GB2312" w:hAnsiTheme="minorEastAsia" w:cs="宋体" w:hint="eastAsia"/>
                <w:kern w:val="0"/>
                <w:sz w:val="28"/>
                <w:szCs w:val="32"/>
              </w:rPr>
              <w:t>、新药上市评价、医疗机构成本效果方案优选和指导患者用药等方面的应用。</w:t>
            </w:r>
          </w:p>
        </w:tc>
      </w:tr>
      <w:tr w:rsidR="009A013C" w:rsidTr="00C80E24">
        <w:trPr>
          <w:trHeight w:val="3105"/>
          <w:jc w:val="center"/>
        </w:trPr>
        <w:tc>
          <w:tcPr>
            <w:tcW w:w="919" w:type="dxa"/>
            <w:vAlign w:val="center"/>
          </w:tcPr>
          <w:p w:rsidR="009A013C" w:rsidRPr="00065520" w:rsidRDefault="009A013C" w:rsidP="00C80E24">
            <w:pPr>
              <w:spacing w:line="360" w:lineRule="auto"/>
              <w:jc w:val="center"/>
              <w:rPr>
                <w:rFonts w:ascii="仿宋_GB2312" w:eastAsia="仿宋_GB2312" w:hAnsiTheme="minorEastAsia" w:cs="仿宋_GB2312"/>
                <w:sz w:val="28"/>
                <w:szCs w:val="32"/>
              </w:rPr>
            </w:pPr>
            <w:r>
              <w:rPr>
                <w:rFonts w:ascii="仿宋_GB2312" w:eastAsia="仿宋_GB2312" w:hAnsiTheme="minorEastAsia" w:cs="仿宋_GB2312" w:hint="eastAsia"/>
                <w:sz w:val="28"/>
                <w:szCs w:val="32"/>
              </w:rPr>
              <w:t>3</w:t>
            </w:r>
          </w:p>
        </w:tc>
        <w:tc>
          <w:tcPr>
            <w:tcW w:w="2410" w:type="dxa"/>
            <w:vAlign w:val="center"/>
          </w:tcPr>
          <w:p w:rsidR="009A013C" w:rsidRPr="00905A69" w:rsidRDefault="009A013C" w:rsidP="00C80E24">
            <w:pPr>
              <w:spacing w:line="360" w:lineRule="auto"/>
              <w:jc w:val="center"/>
              <w:rPr>
                <w:rFonts w:ascii="仿宋_GB2312" w:eastAsia="仿宋_GB2312" w:hAnsiTheme="minorEastAsia" w:cs="宋体"/>
                <w:kern w:val="0"/>
                <w:sz w:val="28"/>
                <w:szCs w:val="32"/>
              </w:rPr>
            </w:pPr>
            <w:r w:rsidRPr="00905A69">
              <w:rPr>
                <w:rFonts w:ascii="仿宋_GB2312" w:eastAsia="仿宋_GB2312" w:hAnsiTheme="minorEastAsia" w:cs="宋体" w:hint="eastAsia"/>
                <w:kern w:val="0"/>
                <w:sz w:val="28"/>
                <w:szCs w:val="32"/>
              </w:rPr>
              <w:t>我国医药价格形成机制改革与创新研究</w:t>
            </w:r>
          </w:p>
        </w:tc>
        <w:tc>
          <w:tcPr>
            <w:tcW w:w="6616" w:type="dxa"/>
            <w:vAlign w:val="center"/>
          </w:tcPr>
          <w:p w:rsidR="009A013C" w:rsidRPr="00905A69" w:rsidRDefault="009A013C" w:rsidP="00C80E24">
            <w:pPr>
              <w:spacing w:line="360" w:lineRule="auto"/>
              <w:rPr>
                <w:rFonts w:ascii="仿宋_GB2312" w:eastAsia="仿宋_GB2312" w:hAnsiTheme="minorEastAsia" w:cs="宋体"/>
                <w:kern w:val="0"/>
                <w:sz w:val="28"/>
                <w:szCs w:val="32"/>
              </w:rPr>
            </w:pPr>
            <w:r w:rsidRPr="00905A69">
              <w:rPr>
                <w:rFonts w:ascii="仿宋_GB2312" w:eastAsia="仿宋_GB2312" w:hAnsiTheme="minorEastAsia" w:cs="宋体" w:hint="eastAsia"/>
                <w:kern w:val="0"/>
                <w:sz w:val="28"/>
                <w:szCs w:val="32"/>
              </w:rPr>
              <w:t>通过分析我国医药价格</w:t>
            </w:r>
            <w:r>
              <w:rPr>
                <w:rFonts w:ascii="仿宋_GB2312" w:eastAsia="仿宋_GB2312" w:hAnsiTheme="minorEastAsia" w:cs="宋体" w:hint="eastAsia"/>
                <w:kern w:val="0"/>
                <w:sz w:val="28"/>
                <w:szCs w:val="32"/>
              </w:rPr>
              <w:t>形成机制的现状，</w:t>
            </w:r>
            <w:r w:rsidRPr="00905A69">
              <w:rPr>
                <w:rFonts w:ascii="仿宋_GB2312" w:eastAsia="仿宋_GB2312" w:hAnsiTheme="minorEastAsia" w:cs="宋体" w:hint="eastAsia"/>
                <w:kern w:val="0"/>
                <w:sz w:val="28"/>
                <w:szCs w:val="32"/>
              </w:rPr>
              <w:t>梳理当前我国医药价格改革</w:t>
            </w:r>
            <w:r>
              <w:rPr>
                <w:rFonts w:ascii="仿宋_GB2312" w:eastAsia="仿宋_GB2312" w:hAnsiTheme="minorEastAsia" w:cs="宋体" w:hint="eastAsia"/>
                <w:kern w:val="0"/>
                <w:sz w:val="28"/>
                <w:szCs w:val="32"/>
              </w:rPr>
              <w:t>过程中价格形成机制方面存在的</w:t>
            </w:r>
            <w:r w:rsidRPr="00905A69">
              <w:rPr>
                <w:rFonts w:ascii="仿宋_GB2312" w:eastAsia="仿宋_GB2312" w:hAnsiTheme="minorEastAsia" w:cs="宋体" w:hint="eastAsia"/>
                <w:kern w:val="0"/>
                <w:sz w:val="28"/>
                <w:szCs w:val="32"/>
              </w:rPr>
              <w:t>问题和难</w:t>
            </w:r>
            <w:r>
              <w:rPr>
                <w:rFonts w:ascii="仿宋_GB2312" w:eastAsia="仿宋_GB2312" w:hAnsiTheme="minorEastAsia" w:cs="宋体" w:hint="eastAsia"/>
                <w:kern w:val="0"/>
                <w:sz w:val="28"/>
                <w:szCs w:val="32"/>
              </w:rPr>
              <w:t>点</w:t>
            </w:r>
            <w:r w:rsidRPr="00905A69">
              <w:rPr>
                <w:rFonts w:ascii="仿宋_GB2312" w:eastAsia="仿宋_GB2312" w:hAnsiTheme="minorEastAsia" w:cs="宋体" w:hint="eastAsia"/>
                <w:kern w:val="0"/>
                <w:sz w:val="28"/>
                <w:szCs w:val="32"/>
              </w:rPr>
              <w:t>，结合</w:t>
            </w:r>
            <w:r>
              <w:rPr>
                <w:rFonts w:ascii="仿宋_GB2312" w:eastAsia="仿宋_GB2312" w:hAnsiTheme="minorEastAsia" w:cs="宋体" w:hint="eastAsia"/>
                <w:kern w:val="0"/>
                <w:sz w:val="28"/>
                <w:szCs w:val="32"/>
              </w:rPr>
              <w:t>我国当前的国情和新医</w:t>
            </w:r>
            <w:proofErr w:type="gramStart"/>
            <w:r>
              <w:rPr>
                <w:rFonts w:ascii="仿宋_GB2312" w:eastAsia="仿宋_GB2312" w:hAnsiTheme="minorEastAsia" w:cs="宋体" w:hint="eastAsia"/>
                <w:kern w:val="0"/>
                <w:sz w:val="28"/>
                <w:szCs w:val="32"/>
              </w:rPr>
              <w:t>改背景</w:t>
            </w:r>
            <w:proofErr w:type="gramEnd"/>
            <w:r>
              <w:rPr>
                <w:rFonts w:ascii="仿宋_GB2312" w:eastAsia="仿宋_GB2312" w:hAnsiTheme="minorEastAsia" w:cs="宋体" w:hint="eastAsia"/>
                <w:kern w:val="0"/>
                <w:sz w:val="28"/>
                <w:szCs w:val="32"/>
              </w:rPr>
              <w:t>下的发展要求</w:t>
            </w:r>
            <w:r w:rsidRPr="00905A69">
              <w:rPr>
                <w:rFonts w:ascii="仿宋_GB2312" w:eastAsia="仿宋_GB2312" w:hAnsiTheme="minorEastAsia" w:cs="宋体" w:hint="eastAsia"/>
                <w:kern w:val="0"/>
                <w:sz w:val="28"/>
                <w:szCs w:val="32"/>
              </w:rPr>
              <w:t>，借鉴</w:t>
            </w:r>
            <w:r>
              <w:rPr>
                <w:rFonts w:ascii="仿宋_GB2312" w:eastAsia="仿宋_GB2312" w:hAnsiTheme="minorEastAsia" w:cs="宋体" w:hint="eastAsia"/>
                <w:kern w:val="0"/>
                <w:sz w:val="28"/>
                <w:szCs w:val="32"/>
              </w:rPr>
              <w:t>国际经验</w:t>
            </w:r>
            <w:r w:rsidRPr="00905A69">
              <w:rPr>
                <w:rFonts w:ascii="仿宋_GB2312" w:eastAsia="仿宋_GB2312" w:hAnsiTheme="minorEastAsia" w:cs="宋体" w:hint="eastAsia"/>
                <w:kern w:val="0"/>
                <w:sz w:val="28"/>
                <w:szCs w:val="32"/>
              </w:rPr>
              <w:t>，探寻</w:t>
            </w:r>
            <w:r>
              <w:rPr>
                <w:rFonts w:ascii="仿宋_GB2312" w:eastAsia="仿宋_GB2312" w:hAnsiTheme="minorEastAsia" w:cs="宋体" w:hint="eastAsia"/>
                <w:kern w:val="0"/>
                <w:sz w:val="28"/>
                <w:szCs w:val="32"/>
              </w:rPr>
              <w:t>构建</w:t>
            </w:r>
            <w:r w:rsidRPr="00905A69">
              <w:rPr>
                <w:rFonts w:ascii="仿宋_GB2312" w:eastAsia="仿宋_GB2312" w:hAnsiTheme="minorEastAsia" w:cs="宋体" w:hint="eastAsia"/>
                <w:kern w:val="0"/>
                <w:sz w:val="28"/>
                <w:szCs w:val="32"/>
              </w:rPr>
              <w:t>科学合理的医药价格形成机制</w:t>
            </w:r>
            <w:r>
              <w:rPr>
                <w:rFonts w:ascii="仿宋_GB2312" w:eastAsia="仿宋_GB2312" w:hAnsiTheme="minorEastAsia" w:cs="宋体" w:hint="eastAsia"/>
                <w:kern w:val="0"/>
                <w:sz w:val="28"/>
                <w:szCs w:val="32"/>
              </w:rPr>
              <w:t>的适宜模式及其实现</w:t>
            </w:r>
            <w:r w:rsidRPr="00905A69">
              <w:rPr>
                <w:rFonts w:ascii="仿宋_GB2312" w:eastAsia="仿宋_GB2312" w:hAnsiTheme="minorEastAsia" w:cs="宋体" w:hint="eastAsia"/>
                <w:kern w:val="0"/>
                <w:sz w:val="28"/>
                <w:szCs w:val="32"/>
              </w:rPr>
              <w:t>路径。</w:t>
            </w:r>
          </w:p>
        </w:tc>
      </w:tr>
    </w:tbl>
    <w:p w:rsidR="009A013C" w:rsidRPr="00AB7A9B" w:rsidRDefault="009A013C" w:rsidP="009A013C"/>
    <w:p w:rsidR="00D17EE1" w:rsidRPr="009A013C" w:rsidRDefault="00D17EE1"/>
    <w:sectPr w:rsidR="00D17EE1" w:rsidRPr="009A01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3C"/>
    <w:rsid w:val="009A013C"/>
    <w:rsid w:val="00D1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1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</dc:creator>
  <cp:lastModifiedBy>Sophia</cp:lastModifiedBy>
  <cp:revision>1</cp:revision>
  <dcterms:created xsi:type="dcterms:W3CDTF">2015-01-26T03:33:00Z</dcterms:created>
  <dcterms:modified xsi:type="dcterms:W3CDTF">2015-01-26T03:35:00Z</dcterms:modified>
</cp:coreProperties>
</file>